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numId w:val="0"/>
        </w:numPr>
        <w:ind w:firstLine="1960" w:firstLineChars="700"/>
        <w:rPr>
          <w:rFonts w:hint="eastAsia" w:eastAsiaTheme="minorEastAsia"/>
          <w:sz w:val="28"/>
          <w:szCs w:val="28"/>
          <w:lang w:eastAsia="zh-CN"/>
        </w:rPr>
      </w:pPr>
      <w:r>
        <w:rPr>
          <w:rFonts w:hint="eastAsia"/>
          <w:sz w:val="28"/>
          <w:szCs w:val="28"/>
        </w:rPr>
        <w:t>推荐的中标后选人名单</w:t>
      </w:r>
      <w:r>
        <w:rPr>
          <w:rFonts w:hint="eastAsia"/>
          <w:sz w:val="28"/>
          <w:szCs w:val="28"/>
          <w:lang w:eastAsia="zh-CN"/>
        </w:rPr>
        <w:t>及结算方式</w:t>
      </w:r>
    </w:p>
    <w:tbl>
      <w:tblPr>
        <w:tblStyle w:val="3"/>
        <w:tblpPr w:leftFromText="180" w:rightFromText="180" w:vertAnchor="text" w:horzAnchor="page" w:tblpX="1779" w:tblpY="1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400"/>
        <w:gridCol w:w="2450"/>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61"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序号</w:t>
            </w:r>
          </w:p>
        </w:tc>
        <w:tc>
          <w:tcPr>
            <w:tcW w:w="240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土建</w:t>
            </w:r>
          </w:p>
        </w:tc>
        <w:tc>
          <w:tcPr>
            <w:tcW w:w="245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设备修理</w:t>
            </w:r>
          </w:p>
        </w:tc>
        <w:tc>
          <w:tcPr>
            <w:tcW w:w="2711"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电子智能化设备修理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61"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240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上海普宏建设工程有限公司</w:t>
            </w:r>
          </w:p>
        </w:tc>
        <w:tc>
          <w:tcPr>
            <w:tcW w:w="245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上海普宏建设工程有限公司</w:t>
            </w:r>
          </w:p>
        </w:tc>
        <w:tc>
          <w:tcPr>
            <w:tcW w:w="2711"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上海包纳计算机信息技术有限公司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961"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240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上海嘉靖建筑工程有限公司</w:t>
            </w:r>
          </w:p>
        </w:tc>
        <w:tc>
          <w:tcPr>
            <w:tcW w:w="245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上海嘉靖建筑工程有限公司</w:t>
            </w:r>
          </w:p>
        </w:tc>
        <w:tc>
          <w:tcPr>
            <w:tcW w:w="2711"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上海普宏建设工程有限公司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61"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3</w:t>
            </w:r>
          </w:p>
        </w:tc>
        <w:tc>
          <w:tcPr>
            <w:tcW w:w="240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江苏璞樾建设发展有限公司</w:t>
            </w:r>
          </w:p>
        </w:tc>
        <w:tc>
          <w:tcPr>
            <w:tcW w:w="245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江苏璞樾建设发展有限公司</w:t>
            </w:r>
          </w:p>
        </w:tc>
        <w:tc>
          <w:tcPr>
            <w:tcW w:w="2711"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上海嘉靖建筑工程有限公司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61"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4</w:t>
            </w:r>
          </w:p>
        </w:tc>
        <w:tc>
          <w:tcPr>
            <w:tcW w:w="240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上海誉童建设集团有限公司</w:t>
            </w:r>
          </w:p>
        </w:tc>
        <w:tc>
          <w:tcPr>
            <w:tcW w:w="245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上海誉童建设集团有限公司</w:t>
            </w:r>
          </w:p>
        </w:tc>
        <w:tc>
          <w:tcPr>
            <w:tcW w:w="2711"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江苏璞樾建设发展有限公司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961"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5</w:t>
            </w:r>
          </w:p>
        </w:tc>
        <w:tc>
          <w:tcPr>
            <w:tcW w:w="240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上海普研建筑安装工程有限公司</w:t>
            </w:r>
          </w:p>
        </w:tc>
        <w:tc>
          <w:tcPr>
            <w:tcW w:w="245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上海皓颂机械设备有限公司</w:t>
            </w:r>
          </w:p>
        </w:tc>
        <w:tc>
          <w:tcPr>
            <w:tcW w:w="2711"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上海濑江建设工程有限公司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61"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6</w:t>
            </w:r>
          </w:p>
        </w:tc>
        <w:tc>
          <w:tcPr>
            <w:tcW w:w="240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上海华地建设工程有限公司</w:t>
            </w:r>
          </w:p>
        </w:tc>
        <w:tc>
          <w:tcPr>
            <w:tcW w:w="245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上海普研建筑安装工程有限公司</w:t>
            </w:r>
          </w:p>
        </w:tc>
        <w:tc>
          <w:tcPr>
            <w:tcW w:w="2711" w:type="dxa"/>
            <w:vAlign w:val="center"/>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61"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7</w:t>
            </w:r>
          </w:p>
        </w:tc>
        <w:tc>
          <w:tcPr>
            <w:tcW w:w="240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上海濑江建设工程有限公司</w:t>
            </w:r>
          </w:p>
        </w:tc>
        <w:tc>
          <w:tcPr>
            <w:tcW w:w="245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上海华地建设工程有限公司</w:t>
            </w:r>
          </w:p>
        </w:tc>
        <w:tc>
          <w:tcPr>
            <w:tcW w:w="2711" w:type="dxa"/>
            <w:vAlign w:val="center"/>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61"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8</w:t>
            </w:r>
          </w:p>
        </w:tc>
        <w:tc>
          <w:tcPr>
            <w:tcW w:w="240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上海溧晶建设工程有限公司</w:t>
            </w:r>
          </w:p>
        </w:tc>
        <w:tc>
          <w:tcPr>
            <w:tcW w:w="245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上海濑江建设工程有限公司</w:t>
            </w:r>
          </w:p>
        </w:tc>
        <w:tc>
          <w:tcPr>
            <w:tcW w:w="2711" w:type="dxa"/>
            <w:vAlign w:val="center"/>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961"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9</w:t>
            </w:r>
          </w:p>
        </w:tc>
        <w:tc>
          <w:tcPr>
            <w:tcW w:w="2400" w:type="dxa"/>
            <w:vAlign w:val="center"/>
          </w:tcPr>
          <w:p>
            <w:pPr>
              <w:jc w:val="center"/>
              <w:rPr>
                <w:rFonts w:hint="eastAsia"/>
                <w:sz w:val="24"/>
                <w:szCs w:val="24"/>
                <w:vertAlign w:val="baseline"/>
                <w:lang w:val="en-US" w:eastAsia="zh-CN"/>
              </w:rPr>
            </w:pPr>
          </w:p>
        </w:tc>
        <w:tc>
          <w:tcPr>
            <w:tcW w:w="245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上海溧晶建设工程有限公司</w:t>
            </w:r>
          </w:p>
        </w:tc>
        <w:tc>
          <w:tcPr>
            <w:tcW w:w="2711" w:type="dxa"/>
            <w:vAlign w:val="center"/>
          </w:tcPr>
          <w:p>
            <w:pPr>
              <w:jc w:val="center"/>
              <w:rPr>
                <w:rFonts w:hint="eastAsia"/>
                <w:sz w:val="24"/>
                <w:szCs w:val="24"/>
                <w:vertAlign w:val="baseline"/>
                <w:lang w:val="en-US" w:eastAsia="zh-CN"/>
              </w:rPr>
            </w:pPr>
          </w:p>
        </w:tc>
      </w:tr>
    </w:tbl>
    <w:p>
      <w:pPr>
        <w:rPr>
          <w:rFonts w:hint="eastAsia"/>
          <w:sz w:val="28"/>
          <w:szCs w:val="28"/>
          <w:vertAlign w:val="baseline"/>
          <w:lang w:val="en-US" w:eastAsia="zh-CN"/>
        </w:rPr>
      </w:pPr>
      <w:r>
        <w:rPr>
          <w:rFonts w:hint="eastAsia"/>
          <w:sz w:val="28"/>
          <w:szCs w:val="28"/>
          <w:lang w:eastAsia="zh-CN"/>
        </w:rPr>
        <w:t xml:space="preserve"> </w:t>
      </w:r>
      <w:r>
        <w:rPr>
          <w:rFonts w:hint="eastAsia"/>
          <w:sz w:val="28"/>
          <w:szCs w:val="28"/>
          <w:lang w:val="en-US" w:eastAsia="zh-CN"/>
        </w:rPr>
        <w:t xml:space="preserve">        </w:t>
      </w:r>
    </w:p>
    <w:p>
      <w:pPr>
        <w:rPr>
          <w:rFonts w:hint="eastAsia"/>
          <w:sz w:val="28"/>
          <w:szCs w:val="28"/>
          <w:lang w:val="en-US" w:eastAsia="zh-CN"/>
        </w:rPr>
      </w:pPr>
      <w:r>
        <w:rPr>
          <w:rFonts w:hint="eastAsia"/>
          <w:sz w:val="28"/>
          <w:szCs w:val="28"/>
          <w:lang w:val="en-US" w:eastAsia="zh-CN"/>
        </w:rPr>
        <w:t xml:space="preserve">   </w:t>
      </w:r>
    </w:p>
    <w:p>
      <w:pPr>
        <w:ind w:firstLine="280" w:firstLineChars="100"/>
        <w:rPr>
          <w:rFonts w:hint="eastAsia"/>
          <w:sz w:val="28"/>
          <w:szCs w:val="28"/>
          <w:lang w:val="en-US" w:eastAsia="zh-CN"/>
        </w:rPr>
      </w:pPr>
    </w:p>
    <w:p>
      <w:pPr>
        <w:ind w:firstLine="280" w:firstLineChars="100"/>
        <w:rPr>
          <w:sz w:val="28"/>
          <w:szCs w:val="28"/>
        </w:rPr>
      </w:pPr>
      <w:r>
        <w:rPr>
          <w:rFonts w:hint="eastAsia"/>
          <w:sz w:val="28"/>
          <w:szCs w:val="28"/>
        </w:rPr>
        <w:t>评委签名：</w:t>
      </w:r>
    </w:p>
    <w:p>
      <w:pPr>
        <w:ind w:firstLine="280" w:firstLineChars="100"/>
        <w:rPr>
          <w:rFonts w:hint="eastAsia" w:eastAsiaTheme="minorEastAsia"/>
          <w:sz w:val="28"/>
          <w:szCs w:val="28"/>
          <w:lang w:eastAsia="zh-CN"/>
        </w:rPr>
      </w:pPr>
      <w:r>
        <w:rPr>
          <w:rFonts w:hint="eastAsia"/>
          <w:sz w:val="28"/>
          <w:szCs w:val="28"/>
          <w:lang w:eastAsia="zh-CN"/>
        </w:rPr>
        <w:t>日期：</w:t>
      </w:r>
    </w:p>
    <w:p>
      <w:pPr>
        <w:rPr>
          <w:sz w:val="28"/>
          <w:szCs w:val="28"/>
        </w:rPr>
      </w:pPr>
    </w:p>
    <w:p>
      <w:pPr>
        <w:rPr>
          <w:sz w:val="28"/>
          <w:szCs w:val="28"/>
        </w:rPr>
      </w:pPr>
    </w:p>
    <w:p>
      <w:pPr>
        <w:adjustRightInd w:val="0"/>
        <w:snapToGrid w:val="0"/>
        <w:ind w:firstLine="1280" w:firstLineChars="400"/>
        <w:rPr>
          <w:rFonts w:hint="eastAsia"/>
          <w:sz w:val="32"/>
          <w:szCs w:val="32"/>
          <w:u w:val="none"/>
        </w:rPr>
      </w:pPr>
      <w:r>
        <w:rPr>
          <w:rFonts w:hint="eastAsia"/>
          <w:sz w:val="32"/>
          <w:szCs w:val="32"/>
          <w:u w:val="none"/>
        </w:rPr>
        <w:t>202</w:t>
      </w:r>
      <w:r>
        <w:rPr>
          <w:rFonts w:hint="eastAsia"/>
          <w:sz w:val="32"/>
          <w:szCs w:val="32"/>
          <w:u w:val="none"/>
          <w:lang w:val="en-US" w:eastAsia="zh-CN"/>
        </w:rPr>
        <w:t>5</w:t>
      </w:r>
      <w:r>
        <w:rPr>
          <w:rFonts w:hint="eastAsia"/>
          <w:sz w:val="32"/>
          <w:szCs w:val="32"/>
          <w:u w:val="none"/>
        </w:rPr>
        <w:t>年度</w:t>
      </w:r>
      <w:r>
        <w:rPr>
          <w:rFonts w:hint="eastAsia"/>
          <w:sz w:val="32"/>
          <w:szCs w:val="32"/>
          <w:u w:val="none"/>
          <w:lang w:eastAsia="zh-CN"/>
        </w:rPr>
        <w:t>零星修理（土建）</w:t>
      </w:r>
      <w:r>
        <w:rPr>
          <w:rFonts w:hint="eastAsia"/>
          <w:sz w:val="32"/>
          <w:szCs w:val="32"/>
          <w:u w:val="none"/>
        </w:rPr>
        <w:t>结算方式</w:t>
      </w:r>
    </w:p>
    <w:p>
      <w:pPr>
        <w:adjustRightInd w:val="0"/>
        <w:snapToGrid w:val="0"/>
        <w:ind w:firstLine="1280" w:firstLineChars="400"/>
        <w:rPr>
          <w:rFonts w:hint="eastAsia"/>
          <w:sz w:val="32"/>
          <w:szCs w:val="32"/>
          <w:u w:val="none"/>
        </w:rPr>
      </w:pPr>
    </w:p>
    <w:p>
      <w:pPr>
        <w:pStyle w:val="5"/>
        <w:numPr>
          <w:ilvl w:val="0"/>
          <w:numId w:val="0"/>
        </w:numPr>
        <w:adjustRightInd w:val="0"/>
        <w:snapToGrid w:val="0"/>
        <w:ind w:leftChars="0" w:firstLine="1120" w:firstLineChars="400"/>
        <w:rPr>
          <w:sz w:val="28"/>
          <w:szCs w:val="28"/>
        </w:rPr>
      </w:pPr>
      <w:r>
        <w:rPr>
          <w:rFonts w:hint="eastAsia"/>
          <w:sz w:val="28"/>
          <w:szCs w:val="28"/>
        </w:rPr>
        <w:t>按照</w:t>
      </w:r>
      <w:r>
        <w:rPr>
          <w:rFonts w:hint="eastAsia"/>
          <w:sz w:val="28"/>
          <w:szCs w:val="28"/>
          <w:lang w:eastAsia="zh-CN"/>
        </w:rPr>
        <w:t>镇江</w:t>
      </w:r>
      <w:r>
        <w:rPr>
          <w:rFonts w:hint="eastAsia"/>
          <w:sz w:val="28"/>
          <w:szCs w:val="28"/>
        </w:rPr>
        <w:t>市2016</w:t>
      </w:r>
      <w:r>
        <w:rPr>
          <w:rFonts w:hint="eastAsia"/>
          <w:sz w:val="28"/>
          <w:szCs w:val="28"/>
          <w:lang w:eastAsia="zh-CN"/>
        </w:rPr>
        <w:t>年</w:t>
      </w:r>
      <w:r>
        <w:rPr>
          <w:rFonts w:hint="eastAsia"/>
          <w:sz w:val="28"/>
          <w:szCs w:val="28"/>
        </w:rPr>
        <w:t>定额进行结算，材料价格不得高于施工期间的上海市建设工程造价信息网站公布的价格，人工费按照区间的最低价和最高价取</w:t>
      </w:r>
      <w:r>
        <w:rPr>
          <w:rFonts w:hint="eastAsia"/>
          <w:sz w:val="28"/>
          <w:szCs w:val="28"/>
          <w:lang w:eastAsia="zh-CN"/>
        </w:rPr>
        <w:t>最低值</w:t>
      </w:r>
      <w:r>
        <w:rPr>
          <w:rFonts w:hint="eastAsia"/>
          <w:sz w:val="28"/>
          <w:szCs w:val="28"/>
        </w:rPr>
        <w:t>进行结算。按照下表中的费率进行结算。</w:t>
      </w:r>
    </w:p>
    <w:tbl>
      <w:tblPr>
        <w:tblStyle w:val="2"/>
        <w:tblpPr w:leftFromText="180" w:rightFromText="180" w:vertAnchor="text" w:horzAnchor="page" w:tblpX="2817" w:tblpY="5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44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sz w:val="28"/>
                <w:szCs w:val="28"/>
              </w:rPr>
            </w:pPr>
            <w:r>
              <w:rPr>
                <w:rFonts w:hint="eastAsia"/>
                <w:sz w:val="28"/>
                <w:szCs w:val="28"/>
              </w:rPr>
              <w:t>序号</w:t>
            </w:r>
          </w:p>
        </w:tc>
        <w:tc>
          <w:tcPr>
            <w:tcW w:w="3443" w:type="dxa"/>
            <w:noWrap w:val="0"/>
            <w:vAlign w:val="center"/>
          </w:tcPr>
          <w:p>
            <w:pPr>
              <w:jc w:val="center"/>
              <w:rPr>
                <w:sz w:val="28"/>
                <w:szCs w:val="28"/>
              </w:rPr>
            </w:pPr>
            <w:r>
              <w:rPr>
                <w:rFonts w:hint="eastAsia"/>
                <w:sz w:val="28"/>
                <w:szCs w:val="28"/>
              </w:rPr>
              <w:t>费率名称</w:t>
            </w:r>
          </w:p>
        </w:tc>
        <w:tc>
          <w:tcPr>
            <w:tcW w:w="2131" w:type="dxa"/>
            <w:noWrap w:val="0"/>
            <w:vAlign w:val="center"/>
          </w:tcPr>
          <w:p>
            <w:pPr>
              <w:jc w:val="center"/>
              <w:rPr>
                <w:sz w:val="28"/>
                <w:szCs w:val="28"/>
              </w:rPr>
            </w:pPr>
            <w:r>
              <w:rPr>
                <w:rFonts w:hint="eastAsia"/>
                <w:sz w:val="28"/>
                <w:szCs w:val="28"/>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sz w:val="28"/>
                <w:szCs w:val="28"/>
              </w:rPr>
            </w:pPr>
            <w:r>
              <w:rPr>
                <w:rFonts w:hint="eastAsia"/>
                <w:sz w:val="28"/>
                <w:szCs w:val="28"/>
              </w:rPr>
              <w:t>1</w:t>
            </w:r>
          </w:p>
        </w:tc>
        <w:tc>
          <w:tcPr>
            <w:tcW w:w="3443" w:type="dxa"/>
            <w:noWrap w:val="0"/>
            <w:vAlign w:val="center"/>
          </w:tcPr>
          <w:p>
            <w:pPr>
              <w:jc w:val="center"/>
              <w:rPr>
                <w:sz w:val="28"/>
                <w:szCs w:val="28"/>
              </w:rPr>
            </w:pPr>
            <w:r>
              <w:rPr>
                <w:rFonts w:hint="eastAsia"/>
                <w:sz w:val="28"/>
                <w:szCs w:val="28"/>
              </w:rPr>
              <w:t>综合费率</w:t>
            </w:r>
          </w:p>
        </w:tc>
        <w:tc>
          <w:tcPr>
            <w:tcW w:w="2131" w:type="dxa"/>
            <w:noWrap w:val="0"/>
            <w:vAlign w:val="center"/>
          </w:tcPr>
          <w:p>
            <w:pPr>
              <w:jc w:val="center"/>
              <w:rPr>
                <w:rFonts w:hint="default" w:eastAsiaTheme="minorEastAsia"/>
                <w:sz w:val="28"/>
                <w:szCs w:val="28"/>
                <w:lang w:val="en-US" w:eastAsia="zh-CN"/>
              </w:rPr>
            </w:pPr>
            <w:r>
              <w:rPr>
                <w:rFonts w:hint="eastAsia"/>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sz w:val="28"/>
                <w:szCs w:val="28"/>
              </w:rPr>
            </w:pPr>
            <w:r>
              <w:rPr>
                <w:rFonts w:hint="eastAsia"/>
                <w:sz w:val="28"/>
                <w:szCs w:val="28"/>
              </w:rPr>
              <w:t>2</w:t>
            </w:r>
          </w:p>
        </w:tc>
        <w:tc>
          <w:tcPr>
            <w:tcW w:w="3443" w:type="dxa"/>
            <w:noWrap w:val="0"/>
            <w:vAlign w:val="center"/>
          </w:tcPr>
          <w:p>
            <w:pPr>
              <w:jc w:val="center"/>
              <w:rPr>
                <w:sz w:val="28"/>
                <w:szCs w:val="28"/>
              </w:rPr>
            </w:pPr>
            <w:r>
              <w:rPr>
                <w:rFonts w:hint="eastAsia"/>
                <w:sz w:val="28"/>
                <w:szCs w:val="28"/>
              </w:rPr>
              <w:t>社会保障费率</w:t>
            </w:r>
          </w:p>
        </w:tc>
        <w:tc>
          <w:tcPr>
            <w:tcW w:w="2131" w:type="dxa"/>
            <w:noWrap w:val="0"/>
            <w:vAlign w:val="center"/>
          </w:tcPr>
          <w:p>
            <w:pPr>
              <w:jc w:val="center"/>
              <w:rPr>
                <w:rFonts w:hint="default" w:eastAsiaTheme="minorEastAsia"/>
                <w:sz w:val="28"/>
                <w:szCs w:val="28"/>
                <w:lang w:val="en-US" w:eastAsia="zh-CN"/>
              </w:rPr>
            </w:pPr>
            <w:r>
              <w:rPr>
                <w:rFonts w:hint="eastAsia"/>
                <w:sz w:val="28"/>
                <w:szCs w:val="28"/>
                <w:lang w:val="en-US" w:eastAsia="zh-CN"/>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sz w:val="28"/>
                <w:szCs w:val="28"/>
              </w:rPr>
            </w:pPr>
            <w:r>
              <w:rPr>
                <w:rFonts w:hint="eastAsia"/>
                <w:sz w:val="28"/>
                <w:szCs w:val="28"/>
              </w:rPr>
              <w:t>3</w:t>
            </w:r>
          </w:p>
        </w:tc>
        <w:tc>
          <w:tcPr>
            <w:tcW w:w="3443" w:type="dxa"/>
            <w:noWrap w:val="0"/>
            <w:vAlign w:val="center"/>
          </w:tcPr>
          <w:p>
            <w:pPr>
              <w:jc w:val="center"/>
              <w:rPr>
                <w:sz w:val="28"/>
                <w:szCs w:val="28"/>
              </w:rPr>
            </w:pPr>
            <w:r>
              <w:rPr>
                <w:rFonts w:hint="eastAsia"/>
                <w:sz w:val="28"/>
                <w:szCs w:val="28"/>
              </w:rPr>
              <w:t>安全文明施工费率</w:t>
            </w:r>
          </w:p>
        </w:tc>
        <w:tc>
          <w:tcPr>
            <w:tcW w:w="2131" w:type="dxa"/>
            <w:noWrap w:val="0"/>
            <w:vAlign w:val="center"/>
          </w:tcPr>
          <w:p>
            <w:pPr>
              <w:jc w:val="center"/>
              <w:rPr>
                <w:rFonts w:hint="default" w:eastAsiaTheme="minorEastAsia"/>
                <w:sz w:val="28"/>
                <w:szCs w:val="28"/>
                <w:lang w:val="en-US" w:eastAsia="zh-CN"/>
              </w:rPr>
            </w:pPr>
            <w:r>
              <w:rPr>
                <w:rFonts w:hint="eastAsia"/>
                <w:sz w:val="28"/>
                <w:szCs w:val="28"/>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sz w:val="28"/>
                <w:szCs w:val="28"/>
              </w:rPr>
            </w:pPr>
            <w:r>
              <w:rPr>
                <w:rFonts w:hint="eastAsia"/>
                <w:sz w:val="28"/>
                <w:szCs w:val="28"/>
              </w:rPr>
              <w:t>4</w:t>
            </w:r>
          </w:p>
        </w:tc>
        <w:tc>
          <w:tcPr>
            <w:tcW w:w="3443" w:type="dxa"/>
            <w:noWrap w:val="0"/>
            <w:vAlign w:val="center"/>
          </w:tcPr>
          <w:p>
            <w:pPr>
              <w:jc w:val="center"/>
              <w:rPr>
                <w:sz w:val="28"/>
                <w:szCs w:val="28"/>
              </w:rPr>
            </w:pPr>
            <w:r>
              <w:rPr>
                <w:rFonts w:hint="eastAsia"/>
                <w:sz w:val="28"/>
                <w:szCs w:val="28"/>
              </w:rPr>
              <w:t>总价下浮率</w:t>
            </w:r>
          </w:p>
        </w:tc>
        <w:tc>
          <w:tcPr>
            <w:tcW w:w="2131" w:type="dxa"/>
            <w:noWrap w:val="0"/>
            <w:vAlign w:val="center"/>
          </w:tcPr>
          <w:p>
            <w:pPr>
              <w:jc w:val="center"/>
              <w:rPr>
                <w:rFonts w:hint="default" w:eastAsiaTheme="minorEastAsia"/>
                <w:sz w:val="28"/>
                <w:szCs w:val="28"/>
                <w:lang w:val="en-US" w:eastAsia="zh-CN"/>
              </w:rPr>
            </w:pPr>
            <w:r>
              <w:rPr>
                <w:rFonts w:hint="eastAsia"/>
                <w:sz w:val="28"/>
                <w:szCs w:val="28"/>
                <w:lang w:val="en-US" w:eastAsia="zh-CN"/>
              </w:rPr>
              <w:t>15%</w:t>
            </w:r>
          </w:p>
        </w:tc>
      </w:tr>
    </w:tbl>
    <w:p>
      <w:pPr>
        <w:pStyle w:val="5"/>
        <w:numPr>
          <w:ilvl w:val="0"/>
          <w:numId w:val="0"/>
        </w:numPr>
        <w:adjustRightInd w:val="0"/>
        <w:snapToGrid w:val="0"/>
        <w:ind w:leftChars="0"/>
        <w:rPr>
          <w:sz w:val="28"/>
          <w:szCs w:val="28"/>
        </w:rPr>
      </w:pPr>
    </w:p>
    <w:p>
      <w:pPr>
        <w:pStyle w:val="5"/>
        <w:adjustRightInd w:val="0"/>
        <w:snapToGrid w:val="0"/>
        <w:ind w:firstLine="0" w:firstLineChars="0"/>
        <w:rPr>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ind w:firstLine="1280" w:firstLineChars="400"/>
        <w:rPr>
          <w:rFonts w:hint="eastAsia"/>
          <w:sz w:val="32"/>
          <w:szCs w:val="32"/>
          <w:u w:val="none"/>
        </w:rPr>
      </w:pPr>
    </w:p>
    <w:p>
      <w:pPr>
        <w:adjustRightInd w:val="0"/>
        <w:snapToGrid w:val="0"/>
        <w:ind w:firstLine="1280" w:firstLineChars="400"/>
        <w:rPr>
          <w:rFonts w:hint="eastAsia"/>
          <w:sz w:val="32"/>
          <w:szCs w:val="32"/>
          <w:u w:val="none"/>
        </w:rPr>
      </w:pPr>
    </w:p>
    <w:p>
      <w:pPr>
        <w:adjustRightInd w:val="0"/>
        <w:snapToGrid w:val="0"/>
        <w:ind w:firstLine="1280" w:firstLineChars="400"/>
        <w:rPr>
          <w:rFonts w:hint="eastAsia"/>
          <w:sz w:val="32"/>
          <w:szCs w:val="32"/>
          <w:u w:val="none"/>
        </w:rPr>
      </w:pPr>
    </w:p>
    <w:p>
      <w:pPr>
        <w:adjustRightInd w:val="0"/>
        <w:snapToGrid w:val="0"/>
        <w:ind w:firstLine="1280" w:firstLineChars="400"/>
        <w:rPr>
          <w:rFonts w:hint="eastAsia"/>
          <w:sz w:val="32"/>
          <w:szCs w:val="32"/>
          <w:u w:val="none"/>
        </w:rPr>
      </w:pPr>
      <w:r>
        <w:rPr>
          <w:rFonts w:hint="eastAsia"/>
          <w:sz w:val="32"/>
          <w:szCs w:val="32"/>
          <w:u w:val="none"/>
        </w:rPr>
        <w:t>202</w:t>
      </w:r>
      <w:r>
        <w:rPr>
          <w:rFonts w:hint="eastAsia"/>
          <w:sz w:val="32"/>
          <w:szCs w:val="32"/>
          <w:u w:val="none"/>
          <w:lang w:val="en-US" w:eastAsia="zh-CN"/>
        </w:rPr>
        <w:t>5</w:t>
      </w:r>
      <w:r>
        <w:rPr>
          <w:rFonts w:hint="eastAsia"/>
          <w:sz w:val="32"/>
          <w:szCs w:val="32"/>
          <w:u w:val="none"/>
        </w:rPr>
        <w:t>年度</w:t>
      </w:r>
      <w:r>
        <w:rPr>
          <w:rFonts w:hint="eastAsia"/>
          <w:sz w:val="32"/>
          <w:szCs w:val="32"/>
          <w:u w:val="none"/>
          <w:lang w:eastAsia="zh-CN"/>
        </w:rPr>
        <w:t>零星修理（设备修理）</w:t>
      </w:r>
      <w:r>
        <w:rPr>
          <w:rFonts w:hint="eastAsia"/>
          <w:sz w:val="32"/>
          <w:szCs w:val="32"/>
          <w:u w:val="none"/>
        </w:rPr>
        <w:t>结算方式</w:t>
      </w:r>
    </w:p>
    <w:p>
      <w:pPr>
        <w:adjustRightInd w:val="0"/>
        <w:snapToGrid w:val="0"/>
        <w:ind w:firstLine="1280" w:firstLineChars="400"/>
        <w:rPr>
          <w:rFonts w:hint="eastAsia"/>
          <w:sz w:val="32"/>
          <w:szCs w:val="32"/>
          <w:u w:val="none"/>
        </w:rPr>
      </w:pPr>
    </w:p>
    <w:p>
      <w:pPr>
        <w:adjustRightInd w:val="0"/>
        <w:snapToGrid w:val="0"/>
        <w:rPr>
          <w:rFonts w:hint="eastAsia"/>
          <w:sz w:val="28"/>
          <w:szCs w:val="28"/>
        </w:rPr>
      </w:pPr>
      <w:r>
        <w:rPr>
          <w:rFonts w:hint="eastAsia"/>
          <w:sz w:val="28"/>
          <w:szCs w:val="28"/>
        </w:rPr>
        <w:t>按照</w:t>
      </w:r>
      <w:r>
        <w:rPr>
          <w:rFonts w:hint="eastAsia"/>
          <w:sz w:val="28"/>
          <w:szCs w:val="28"/>
          <w:lang w:eastAsia="zh-CN"/>
        </w:rPr>
        <w:t>镇江</w:t>
      </w:r>
      <w:r>
        <w:rPr>
          <w:rFonts w:hint="eastAsia"/>
          <w:sz w:val="28"/>
          <w:szCs w:val="28"/>
        </w:rPr>
        <w:t>市2016</w:t>
      </w:r>
      <w:r>
        <w:rPr>
          <w:rFonts w:hint="eastAsia"/>
          <w:sz w:val="28"/>
          <w:szCs w:val="28"/>
          <w:lang w:eastAsia="zh-CN"/>
        </w:rPr>
        <w:t>年</w:t>
      </w:r>
      <w:r>
        <w:rPr>
          <w:rFonts w:hint="eastAsia"/>
          <w:sz w:val="28"/>
          <w:szCs w:val="28"/>
        </w:rPr>
        <w:t>定额进行结算，材料价格不得高于施工期间的上海市建设工程造价信息网站公布的价格，人工费按照区间的最低价和最高价取</w:t>
      </w:r>
      <w:r>
        <w:rPr>
          <w:rFonts w:hint="eastAsia"/>
          <w:sz w:val="28"/>
          <w:szCs w:val="28"/>
          <w:lang w:eastAsia="zh-CN"/>
        </w:rPr>
        <w:t>最低值</w:t>
      </w:r>
      <w:r>
        <w:rPr>
          <w:rFonts w:hint="eastAsia"/>
          <w:sz w:val="28"/>
          <w:szCs w:val="28"/>
        </w:rPr>
        <w:t>进行结算。按照下表中的费率进行结算。</w:t>
      </w:r>
    </w:p>
    <w:tbl>
      <w:tblPr>
        <w:tblStyle w:val="2"/>
        <w:tblpPr w:leftFromText="180" w:rightFromText="180" w:vertAnchor="text" w:horzAnchor="page" w:tblpX="2664" w:tblpY="1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44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b/>
                <w:sz w:val="28"/>
                <w:szCs w:val="28"/>
              </w:rPr>
            </w:pPr>
            <w:r>
              <w:rPr>
                <w:rFonts w:hint="eastAsia"/>
                <w:b/>
                <w:sz w:val="28"/>
                <w:szCs w:val="28"/>
              </w:rPr>
              <w:t>序号</w:t>
            </w:r>
          </w:p>
        </w:tc>
        <w:tc>
          <w:tcPr>
            <w:tcW w:w="3443" w:type="dxa"/>
            <w:noWrap w:val="0"/>
            <w:vAlign w:val="center"/>
          </w:tcPr>
          <w:p>
            <w:pPr>
              <w:jc w:val="center"/>
              <w:rPr>
                <w:b/>
                <w:sz w:val="28"/>
                <w:szCs w:val="28"/>
              </w:rPr>
            </w:pPr>
            <w:r>
              <w:rPr>
                <w:rFonts w:hint="eastAsia"/>
                <w:b/>
                <w:sz w:val="28"/>
                <w:szCs w:val="28"/>
              </w:rPr>
              <w:t>工种</w:t>
            </w:r>
          </w:p>
        </w:tc>
        <w:tc>
          <w:tcPr>
            <w:tcW w:w="2131" w:type="dxa"/>
            <w:noWrap w:val="0"/>
            <w:vAlign w:val="center"/>
          </w:tcPr>
          <w:p>
            <w:pPr>
              <w:jc w:val="center"/>
              <w:rPr>
                <w:b/>
                <w:sz w:val="28"/>
                <w:szCs w:val="28"/>
              </w:rPr>
            </w:pPr>
            <w:r>
              <w:rPr>
                <w:rFonts w:hint="eastAsia"/>
                <w:b/>
                <w:sz w:val="28"/>
                <w:szCs w:val="28"/>
              </w:rPr>
              <w:t>税前单价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sz w:val="28"/>
                <w:szCs w:val="28"/>
              </w:rPr>
            </w:pPr>
            <w:r>
              <w:rPr>
                <w:rFonts w:hint="eastAsia"/>
                <w:sz w:val="28"/>
                <w:szCs w:val="28"/>
              </w:rPr>
              <w:t>1</w:t>
            </w:r>
          </w:p>
        </w:tc>
        <w:tc>
          <w:tcPr>
            <w:tcW w:w="3443" w:type="dxa"/>
            <w:noWrap w:val="0"/>
            <w:vAlign w:val="center"/>
          </w:tcPr>
          <w:p>
            <w:pPr>
              <w:jc w:val="center"/>
              <w:rPr>
                <w:sz w:val="28"/>
                <w:szCs w:val="28"/>
              </w:rPr>
            </w:pPr>
            <w:r>
              <w:rPr>
                <w:rFonts w:hint="eastAsia"/>
                <w:sz w:val="28"/>
                <w:szCs w:val="28"/>
              </w:rPr>
              <w:t>起重工</w:t>
            </w:r>
          </w:p>
        </w:tc>
        <w:tc>
          <w:tcPr>
            <w:tcW w:w="2131" w:type="dxa"/>
            <w:noWrap w:val="0"/>
            <w:vAlign w:val="center"/>
          </w:tcPr>
          <w:p>
            <w:pPr>
              <w:jc w:val="center"/>
              <w:rPr>
                <w:rFonts w:hint="default" w:eastAsiaTheme="minorEastAsia"/>
                <w:sz w:val="28"/>
                <w:szCs w:val="28"/>
                <w:lang w:val="en-US" w:eastAsia="zh-CN"/>
              </w:rPr>
            </w:pPr>
            <w:r>
              <w:rPr>
                <w:rFonts w:hint="eastAsia"/>
                <w:sz w:val="28"/>
                <w:szCs w:val="28"/>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sz w:val="28"/>
                <w:szCs w:val="28"/>
              </w:rPr>
            </w:pPr>
            <w:r>
              <w:rPr>
                <w:rFonts w:hint="eastAsia"/>
                <w:sz w:val="28"/>
                <w:szCs w:val="28"/>
              </w:rPr>
              <w:t>2</w:t>
            </w:r>
          </w:p>
        </w:tc>
        <w:tc>
          <w:tcPr>
            <w:tcW w:w="3443" w:type="dxa"/>
            <w:noWrap w:val="0"/>
            <w:vAlign w:val="center"/>
          </w:tcPr>
          <w:p>
            <w:pPr>
              <w:jc w:val="center"/>
              <w:rPr>
                <w:sz w:val="28"/>
                <w:szCs w:val="28"/>
              </w:rPr>
            </w:pPr>
            <w:r>
              <w:rPr>
                <w:rFonts w:hint="eastAsia"/>
                <w:sz w:val="28"/>
                <w:szCs w:val="28"/>
              </w:rPr>
              <w:t>电焊工</w:t>
            </w:r>
          </w:p>
        </w:tc>
        <w:tc>
          <w:tcPr>
            <w:tcW w:w="2131" w:type="dxa"/>
            <w:noWrap w:val="0"/>
            <w:vAlign w:val="center"/>
          </w:tcPr>
          <w:p>
            <w:pPr>
              <w:jc w:val="center"/>
              <w:rPr>
                <w:rFonts w:hint="default" w:eastAsiaTheme="minorEastAsia"/>
                <w:sz w:val="28"/>
                <w:szCs w:val="28"/>
                <w:lang w:val="en-US" w:eastAsia="zh-CN"/>
              </w:rPr>
            </w:pPr>
            <w:r>
              <w:rPr>
                <w:rFonts w:hint="eastAsia"/>
                <w:sz w:val="28"/>
                <w:szCs w:val="28"/>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sz w:val="28"/>
                <w:szCs w:val="28"/>
              </w:rPr>
            </w:pPr>
            <w:r>
              <w:rPr>
                <w:rFonts w:hint="eastAsia"/>
                <w:sz w:val="28"/>
                <w:szCs w:val="28"/>
              </w:rPr>
              <w:t>3</w:t>
            </w:r>
          </w:p>
        </w:tc>
        <w:tc>
          <w:tcPr>
            <w:tcW w:w="3443" w:type="dxa"/>
            <w:noWrap w:val="0"/>
            <w:vAlign w:val="center"/>
          </w:tcPr>
          <w:p>
            <w:pPr>
              <w:jc w:val="center"/>
              <w:rPr>
                <w:sz w:val="28"/>
                <w:szCs w:val="28"/>
              </w:rPr>
            </w:pPr>
            <w:r>
              <w:rPr>
                <w:rFonts w:hint="eastAsia"/>
                <w:sz w:val="28"/>
                <w:szCs w:val="28"/>
              </w:rPr>
              <w:t>电工</w:t>
            </w:r>
          </w:p>
        </w:tc>
        <w:tc>
          <w:tcPr>
            <w:tcW w:w="2131" w:type="dxa"/>
            <w:noWrap w:val="0"/>
            <w:vAlign w:val="center"/>
          </w:tcPr>
          <w:p>
            <w:pPr>
              <w:jc w:val="center"/>
              <w:rPr>
                <w:rFonts w:hint="default" w:eastAsiaTheme="minorEastAsia"/>
                <w:sz w:val="28"/>
                <w:szCs w:val="28"/>
                <w:lang w:val="en-US" w:eastAsia="zh-CN"/>
              </w:rPr>
            </w:pPr>
            <w:r>
              <w:rPr>
                <w:rFonts w:hint="eastAsia"/>
                <w:sz w:val="28"/>
                <w:szCs w:val="28"/>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rFonts w:hint="eastAsia"/>
                <w:sz w:val="28"/>
                <w:szCs w:val="28"/>
              </w:rPr>
            </w:pPr>
            <w:r>
              <w:rPr>
                <w:rFonts w:hint="eastAsia"/>
                <w:sz w:val="28"/>
                <w:szCs w:val="28"/>
              </w:rPr>
              <w:t>4</w:t>
            </w:r>
          </w:p>
        </w:tc>
        <w:tc>
          <w:tcPr>
            <w:tcW w:w="3443" w:type="dxa"/>
            <w:noWrap w:val="0"/>
            <w:vAlign w:val="center"/>
          </w:tcPr>
          <w:p>
            <w:pPr>
              <w:jc w:val="center"/>
              <w:rPr>
                <w:rFonts w:hint="eastAsia"/>
                <w:sz w:val="28"/>
                <w:szCs w:val="28"/>
              </w:rPr>
            </w:pPr>
            <w:r>
              <w:rPr>
                <w:rFonts w:hint="eastAsia"/>
                <w:sz w:val="28"/>
                <w:szCs w:val="28"/>
              </w:rPr>
              <w:t>钳工</w:t>
            </w:r>
          </w:p>
        </w:tc>
        <w:tc>
          <w:tcPr>
            <w:tcW w:w="2131" w:type="dxa"/>
            <w:noWrap w:val="0"/>
            <w:vAlign w:val="center"/>
          </w:tcPr>
          <w:p>
            <w:pPr>
              <w:jc w:val="center"/>
              <w:rPr>
                <w:rFonts w:hint="default" w:eastAsiaTheme="minorEastAsia"/>
                <w:sz w:val="28"/>
                <w:szCs w:val="28"/>
                <w:lang w:val="en-US" w:eastAsia="zh-CN"/>
              </w:rPr>
            </w:pPr>
            <w:r>
              <w:rPr>
                <w:rFonts w:hint="eastAsia"/>
                <w:sz w:val="28"/>
                <w:szCs w:val="28"/>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sz w:val="28"/>
                <w:szCs w:val="28"/>
              </w:rPr>
            </w:pPr>
            <w:r>
              <w:rPr>
                <w:rFonts w:hint="eastAsia"/>
                <w:sz w:val="28"/>
                <w:szCs w:val="28"/>
              </w:rPr>
              <w:t>5</w:t>
            </w:r>
          </w:p>
        </w:tc>
        <w:tc>
          <w:tcPr>
            <w:tcW w:w="3443" w:type="dxa"/>
            <w:noWrap w:val="0"/>
            <w:vAlign w:val="center"/>
          </w:tcPr>
          <w:p>
            <w:pPr>
              <w:jc w:val="center"/>
              <w:rPr>
                <w:sz w:val="28"/>
                <w:szCs w:val="28"/>
              </w:rPr>
            </w:pPr>
            <w:r>
              <w:rPr>
                <w:rFonts w:hint="eastAsia"/>
                <w:sz w:val="28"/>
                <w:szCs w:val="28"/>
              </w:rPr>
              <w:t>辅助工</w:t>
            </w:r>
          </w:p>
        </w:tc>
        <w:tc>
          <w:tcPr>
            <w:tcW w:w="2131" w:type="dxa"/>
            <w:noWrap w:val="0"/>
            <w:vAlign w:val="center"/>
          </w:tcPr>
          <w:p>
            <w:pPr>
              <w:jc w:val="center"/>
              <w:rPr>
                <w:rFonts w:hint="default" w:eastAsiaTheme="minorEastAsia"/>
                <w:sz w:val="28"/>
                <w:szCs w:val="28"/>
                <w:lang w:val="en-US" w:eastAsia="zh-CN"/>
              </w:rPr>
            </w:pPr>
            <w:r>
              <w:rPr>
                <w:rFonts w:hint="eastAsia"/>
                <w:sz w:val="28"/>
                <w:szCs w:val="28"/>
                <w:lang w:val="en-US" w:eastAsia="zh-CN"/>
              </w:rPr>
              <w:t>270</w:t>
            </w:r>
          </w:p>
        </w:tc>
      </w:tr>
    </w:tbl>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ind w:firstLine="1280" w:firstLineChars="400"/>
        <w:rPr>
          <w:rFonts w:hint="eastAsia"/>
          <w:sz w:val="32"/>
          <w:szCs w:val="32"/>
          <w:u w:val="none"/>
        </w:rPr>
      </w:pPr>
    </w:p>
    <w:p>
      <w:pPr>
        <w:adjustRightInd w:val="0"/>
        <w:snapToGrid w:val="0"/>
        <w:ind w:firstLine="1280" w:firstLineChars="400"/>
        <w:rPr>
          <w:rFonts w:hint="eastAsia"/>
          <w:sz w:val="32"/>
          <w:szCs w:val="32"/>
          <w:u w:val="none"/>
        </w:rPr>
      </w:pPr>
    </w:p>
    <w:p>
      <w:pPr>
        <w:adjustRightInd w:val="0"/>
        <w:snapToGrid w:val="0"/>
        <w:ind w:firstLine="1280" w:firstLineChars="400"/>
        <w:rPr>
          <w:rFonts w:hint="eastAsia"/>
          <w:sz w:val="32"/>
          <w:szCs w:val="32"/>
          <w:u w:val="none"/>
        </w:rPr>
      </w:pPr>
    </w:p>
    <w:p>
      <w:pPr>
        <w:adjustRightInd w:val="0"/>
        <w:snapToGrid w:val="0"/>
        <w:ind w:firstLine="1280" w:firstLineChars="400"/>
        <w:rPr>
          <w:rFonts w:hint="eastAsia"/>
          <w:sz w:val="32"/>
          <w:szCs w:val="32"/>
          <w:u w:val="none"/>
        </w:rPr>
      </w:pPr>
    </w:p>
    <w:p>
      <w:pPr>
        <w:adjustRightInd w:val="0"/>
        <w:snapToGrid w:val="0"/>
        <w:ind w:firstLine="1280" w:firstLineChars="400"/>
        <w:rPr>
          <w:rFonts w:hint="eastAsia"/>
          <w:sz w:val="32"/>
          <w:szCs w:val="32"/>
          <w:u w:val="none"/>
        </w:rPr>
      </w:pPr>
      <w:r>
        <w:rPr>
          <w:rFonts w:hint="eastAsia"/>
          <w:sz w:val="32"/>
          <w:szCs w:val="32"/>
          <w:u w:val="none"/>
        </w:rPr>
        <w:t>202</w:t>
      </w:r>
      <w:r>
        <w:rPr>
          <w:rFonts w:hint="eastAsia"/>
          <w:sz w:val="32"/>
          <w:szCs w:val="32"/>
          <w:u w:val="none"/>
          <w:lang w:val="en-US" w:eastAsia="zh-CN"/>
        </w:rPr>
        <w:t>5</w:t>
      </w:r>
      <w:r>
        <w:rPr>
          <w:rFonts w:hint="eastAsia"/>
          <w:sz w:val="32"/>
          <w:szCs w:val="32"/>
          <w:u w:val="none"/>
        </w:rPr>
        <w:t>年度</w:t>
      </w:r>
      <w:r>
        <w:rPr>
          <w:rFonts w:hint="eastAsia"/>
          <w:sz w:val="32"/>
          <w:szCs w:val="32"/>
          <w:u w:val="none"/>
          <w:lang w:eastAsia="zh-CN"/>
        </w:rPr>
        <w:t>电子智能化设备安装修理</w:t>
      </w:r>
      <w:r>
        <w:rPr>
          <w:rFonts w:hint="eastAsia"/>
          <w:sz w:val="32"/>
          <w:szCs w:val="32"/>
          <w:u w:val="none"/>
        </w:rPr>
        <w:t>结算方式</w:t>
      </w:r>
    </w:p>
    <w:p>
      <w:pPr>
        <w:adjustRightInd w:val="0"/>
        <w:snapToGrid w:val="0"/>
        <w:ind w:firstLine="1280" w:firstLineChars="400"/>
        <w:rPr>
          <w:rFonts w:hint="eastAsia"/>
          <w:sz w:val="32"/>
          <w:szCs w:val="32"/>
          <w:u w:val="none"/>
        </w:rPr>
      </w:pPr>
    </w:p>
    <w:p>
      <w:pPr>
        <w:adjustRightInd w:val="0"/>
        <w:snapToGrid w:val="0"/>
        <w:ind w:firstLine="560" w:firstLineChars="200"/>
        <w:rPr>
          <w:rFonts w:hint="eastAsia"/>
          <w:sz w:val="28"/>
          <w:szCs w:val="28"/>
        </w:rPr>
      </w:pPr>
      <w:r>
        <w:rPr>
          <w:rFonts w:hint="eastAsia"/>
          <w:sz w:val="28"/>
          <w:szCs w:val="28"/>
        </w:rPr>
        <w:t>按照</w:t>
      </w:r>
      <w:r>
        <w:rPr>
          <w:rFonts w:hint="eastAsia"/>
          <w:sz w:val="28"/>
          <w:szCs w:val="28"/>
          <w:lang w:eastAsia="zh-CN"/>
        </w:rPr>
        <w:t>镇江</w:t>
      </w:r>
      <w:r>
        <w:rPr>
          <w:rFonts w:hint="eastAsia"/>
          <w:sz w:val="28"/>
          <w:szCs w:val="28"/>
        </w:rPr>
        <w:t>市2016</w:t>
      </w:r>
      <w:r>
        <w:rPr>
          <w:rFonts w:hint="eastAsia"/>
          <w:sz w:val="28"/>
          <w:szCs w:val="28"/>
          <w:lang w:eastAsia="zh-CN"/>
        </w:rPr>
        <w:t>年</w:t>
      </w:r>
      <w:r>
        <w:rPr>
          <w:rFonts w:hint="eastAsia"/>
          <w:sz w:val="28"/>
          <w:szCs w:val="28"/>
        </w:rPr>
        <w:t>定额进行结算，材料价格不得高于施工期间的</w:t>
      </w:r>
      <w:r>
        <w:rPr>
          <w:rFonts w:hint="eastAsia"/>
          <w:sz w:val="28"/>
          <w:szCs w:val="28"/>
          <w:lang w:eastAsia="zh-CN"/>
        </w:rPr>
        <w:t>镇江</w:t>
      </w:r>
      <w:r>
        <w:rPr>
          <w:rFonts w:hint="eastAsia"/>
          <w:sz w:val="28"/>
          <w:szCs w:val="28"/>
        </w:rPr>
        <w:t>市建设工程造价信息网站公布的价格，人工费按照区间的最低价和最高价取</w:t>
      </w:r>
      <w:r>
        <w:rPr>
          <w:rFonts w:hint="eastAsia"/>
          <w:sz w:val="28"/>
          <w:szCs w:val="28"/>
          <w:lang w:eastAsia="zh-CN"/>
        </w:rPr>
        <w:t>最低值</w:t>
      </w:r>
      <w:r>
        <w:rPr>
          <w:rFonts w:hint="eastAsia"/>
          <w:sz w:val="28"/>
          <w:szCs w:val="28"/>
        </w:rPr>
        <w:t>进行结算。按照下表中的费率进行结算。</w:t>
      </w:r>
    </w:p>
    <w:tbl>
      <w:tblPr>
        <w:tblStyle w:val="2"/>
        <w:tblpPr w:leftFromText="180" w:rightFromText="180" w:vertAnchor="text" w:horzAnchor="page" w:tblpX="2797" w:tblpY="6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44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sz w:val="28"/>
                <w:szCs w:val="28"/>
              </w:rPr>
            </w:pPr>
            <w:r>
              <w:rPr>
                <w:rFonts w:hint="eastAsia"/>
                <w:sz w:val="28"/>
                <w:szCs w:val="28"/>
              </w:rPr>
              <w:t>序号</w:t>
            </w:r>
          </w:p>
        </w:tc>
        <w:tc>
          <w:tcPr>
            <w:tcW w:w="3443" w:type="dxa"/>
            <w:noWrap w:val="0"/>
            <w:vAlign w:val="center"/>
          </w:tcPr>
          <w:p>
            <w:pPr>
              <w:jc w:val="center"/>
              <w:rPr>
                <w:sz w:val="28"/>
                <w:szCs w:val="28"/>
              </w:rPr>
            </w:pPr>
            <w:r>
              <w:rPr>
                <w:rFonts w:hint="eastAsia"/>
                <w:b/>
                <w:sz w:val="28"/>
                <w:szCs w:val="28"/>
              </w:rPr>
              <w:t>工种</w:t>
            </w:r>
          </w:p>
        </w:tc>
        <w:tc>
          <w:tcPr>
            <w:tcW w:w="2131" w:type="dxa"/>
            <w:noWrap w:val="0"/>
            <w:vAlign w:val="center"/>
          </w:tcPr>
          <w:p>
            <w:pPr>
              <w:jc w:val="center"/>
              <w:rPr>
                <w:sz w:val="28"/>
                <w:szCs w:val="28"/>
              </w:rPr>
            </w:pPr>
            <w:r>
              <w:rPr>
                <w:rFonts w:hint="eastAsia"/>
                <w:b/>
                <w:sz w:val="28"/>
                <w:szCs w:val="28"/>
              </w:rPr>
              <w:t>税前单价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sz w:val="28"/>
                <w:szCs w:val="28"/>
              </w:rPr>
            </w:pPr>
            <w:r>
              <w:rPr>
                <w:rFonts w:hint="eastAsia"/>
                <w:sz w:val="28"/>
                <w:szCs w:val="28"/>
              </w:rPr>
              <w:t>1</w:t>
            </w:r>
          </w:p>
        </w:tc>
        <w:tc>
          <w:tcPr>
            <w:tcW w:w="3443" w:type="dxa"/>
            <w:noWrap w:val="0"/>
            <w:vAlign w:val="center"/>
          </w:tcPr>
          <w:p>
            <w:pPr>
              <w:jc w:val="center"/>
              <w:rPr>
                <w:rFonts w:hint="eastAsia" w:eastAsia="宋体"/>
                <w:sz w:val="28"/>
                <w:szCs w:val="28"/>
                <w:lang w:eastAsia="zh-CN"/>
              </w:rPr>
            </w:pPr>
            <w:r>
              <w:rPr>
                <w:rFonts w:hint="eastAsia"/>
                <w:sz w:val="28"/>
                <w:szCs w:val="28"/>
                <w:lang w:eastAsia="zh-CN"/>
              </w:rPr>
              <w:t>弱电工</w:t>
            </w:r>
          </w:p>
        </w:tc>
        <w:tc>
          <w:tcPr>
            <w:tcW w:w="2131" w:type="dxa"/>
            <w:noWrap w:val="0"/>
            <w:vAlign w:val="center"/>
          </w:tcPr>
          <w:p>
            <w:pPr>
              <w:jc w:val="center"/>
              <w:rPr>
                <w:rFonts w:hint="default" w:eastAsiaTheme="minorEastAsia"/>
                <w:sz w:val="28"/>
                <w:szCs w:val="28"/>
                <w:lang w:val="en-US" w:eastAsia="zh-CN"/>
              </w:rPr>
            </w:pPr>
            <w:r>
              <w:rPr>
                <w:rFonts w:hint="eastAsia"/>
                <w:sz w:val="28"/>
                <w:szCs w:val="28"/>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sz w:val="28"/>
                <w:szCs w:val="28"/>
              </w:rPr>
            </w:pPr>
            <w:r>
              <w:rPr>
                <w:rFonts w:hint="eastAsia"/>
                <w:sz w:val="28"/>
                <w:szCs w:val="28"/>
              </w:rPr>
              <w:t>2</w:t>
            </w:r>
          </w:p>
        </w:tc>
        <w:tc>
          <w:tcPr>
            <w:tcW w:w="3443" w:type="dxa"/>
            <w:noWrap w:val="0"/>
            <w:vAlign w:val="center"/>
          </w:tcPr>
          <w:p>
            <w:pPr>
              <w:jc w:val="center"/>
              <w:rPr>
                <w:rFonts w:hint="eastAsia" w:eastAsia="宋体"/>
                <w:sz w:val="28"/>
                <w:szCs w:val="28"/>
                <w:lang w:eastAsia="zh-CN"/>
              </w:rPr>
            </w:pPr>
            <w:r>
              <w:rPr>
                <w:rFonts w:hint="eastAsia"/>
                <w:sz w:val="28"/>
                <w:szCs w:val="28"/>
                <w:lang w:eastAsia="zh-CN"/>
              </w:rPr>
              <w:t>辅助工</w:t>
            </w:r>
          </w:p>
        </w:tc>
        <w:tc>
          <w:tcPr>
            <w:tcW w:w="2131" w:type="dxa"/>
            <w:noWrap w:val="0"/>
            <w:vAlign w:val="center"/>
          </w:tcPr>
          <w:p>
            <w:pPr>
              <w:jc w:val="center"/>
              <w:rPr>
                <w:rFonts w:hint="default" w:eastAsiaTheme="minorEastAsia"/>
                <w:sz w:val="28"/>
                <w:szCs w:val="28"/>
                <w:lang w:val="en-US" w:eastAsia="zh-CN"/>
              </w:rPr>
            </w:pPr>
            <w:r>
              <w:rPr>
                <w:rFonts w:hint="eastAsia"/>
                <w:sz w:val="28"/>
                <w:szCs w:val="28"/>
                <w:lang w:val="en-US"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sz w:val="28"/>
                <w:szCs w:val="28"/>
              </w:rPr>
            </w:pPr>
            <w:r>
              <w:rPr>
                <w:rFonts w:hint="eastAsia"/>
                <w:sz w:val="28"/>
                <w:szCs w:val="28"/>
              </w:rPr>
              <w:t>3</w:t>
            </w:r>
          </w:p>
        </w:tc>
        <w:tc>
          <w:tcPr>
            <w:tcW w:w="3443" w:type="dxa"/>
            <w:noWrap w:val="0"/>
            <w:vAlign w:val="center"/>
          </w:tcPr>
          <w:p>
            <w:pPr>
              <w:jc w:val="center"/>
              <w:rPr>
                <w:rFonts w:hint="eastAsia" w:eastAsia="宋体"/>
                <w:sz w:val="28"/>
                <w:szCs w:val="28"/>
                <w:lang w:eastAsia="zh-CN"/>
              </w:rPr>
            </w:pPr>
            <w:r>
              <w:rPr>
                <w:rFonts w:hint="eastAsia"/>
                <w:sz w:val="28"/>
                <w:szCs w:val="28"/>
                <w:lang w:eastAsia="zh-CN"/>
              </w:rPr>
              <w:t>安全文明施工费率</w:t>
            </w:r>
          </w:p>
        </w:tc>
        <w:tc>
          <w:tcPr>
            <w:tcW w:w="2131" w:type="dxa"/>
            <w:noWrap w:val="0"/>
            <w:vAlign w:val="center"/>
          </w:tcPr>
          <w:p>
            <w:pPr>
              <w:jc w:val="center"/>
              <w:rPr>
                <w:rFonts w:hint="default" w:eastAsiaTheme="minorEastAsia"/>
                <w:sz w:val="28"/>
                <w:szCs w:val="28"/>
                <w:lang w:val="en-US" w:eastAsia="zh-CN"/>
              </w:rPr>
            </w:pPr>
            <w:r>
              <w:rPr>
                <w:rFonts w:hint="eastAsia"/>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sz w:val="28"/>
                <w:szCs w:val="28"/>
              </w:rPr>
            </w:pPr>
            <w:r>
              <w:rPr>
                <w:rFonts w:hint="eastAsia"/>
                <w:sz w:val="28"/>
                <w:szCs w:val="28"/>
              </w:rPr>
              <w:t>4</w:t>
            </w:r>
          </w:p>
        </w:tc>
        <w:tc>
          <w:tcPr>
            <w:tcW w:w="3443" w:type="dxa"/>
            <w:noWrap w:val="0"/>
            <w:vAlign w:val="center"/>
          </w:tcPr>
          <w:p>
            <w:pPr>
              <w:jc w:val="center"/>
              <w:rPr>
                <w:rFonts w:hint="eastAsia" w:eastAsia="宋体"/>
                <w:sz w:val="28"/>
                <w:szCs w:val="28"/>
                <w:lang w:eastAsia="zh-CN"/>
              </w:rPr>
            </w:pPr>
            <w:r>
              <w:rPr>
                <w:rFonts w:hint="eastAsia"/>
                <w:sz w:val="28"/>
                <w:szCs w:val="28"/>
                <w:lang w:eastAsia="zh-CN"/>
              </w:rPr>
              <w:t>清包下浮率</w:t>
            </w:r>
          </w:p>
        </w:tc>
        <w:tc>
          <w:tcPr>
            <w:tcW w:w="2131" w:type="dxa"/>
            <w:noWrap w:val="0"/>
            <w:vAlign w:val="center"/>
          </w:tcPr>
          <w:p>
            <w:pPr>
              <w:jc w:val="center"/>
              <w:rPr>
                <w:rFonts w:hint="default" w:eastAsiaTheme="minorEastAsia"/>
                <w:sz w:val="28"/>
                <w:szCs w:val="28"/>
                <w:lang w:val="en-US" w:eastAsia="zh-CN"/>
              </w:rPr>
            </w:pPr>
            <w:r>
              <w:rPr>
                <w:rFonts w:hint="eastAsia"/>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rFonts w:hint="eastAsia" w:eastAsia="宋体"/>
                <w:sz w:val="28"/>
                <w:szCs w:val="28"/>
                <w:lang w:val="en-US" w:eastAsia="zh-CN"/>
              </w:rPr>
            </w:pPr>
            <w:r>
              <w:rPr>
                <w:rFonts w:hint="eastAsia"/>
                <w:sz w:val="28"/>
                <w:szCs w:val="28"/>
                <w:lang w:val="en-US" w:eastAsia="zh-CN"/>
              </w:rPr>
              <w:t>5</w:t>
            </w:r>
          </w:p>
        </w:tc>
        <w:tc>
          <w:tcPr>
            <w:tcW w:w="3443" w:type="dxa"/>
            <w:noWrap w:val="0"/>
            <w:vAlign w:val="center"/>
          </w:tcPr>
          <w:p>
            <w:pPr>
              <w:jc w:val="center"/>
              <w:rPr>
                <w:rFonts w:hint="eastAsia"/>
                <w:sz w:val="28"/>
                <w:szCs w:val="28"/>
                <w:lang w:eastAsia="zh-CN"/>
              </w:rPr>
            </w:pPr>
            <w:r>
              <w:rPr>
                <w:rFonts w:hint="eastAsia"/>
                <w:sz w:val="28"/>
                <w:szCs w:val="28"/>
                <w:lang w:eastAsia="zh-CN"/>
              </w:rPr>
              <w:t>双包下浮率</w:t>
            </w:r>
          </w:p>
        </w:tc>
        <w:tc>
          <w:tcPr>
            <w:tcW w:w="2131" w:type="dxa"/>
            <w:noWrap w:val="0"/>
            <w:vAlign w:val="center"/>
          </w:tcPr>
          <w:p>
            <w:pPr>
              <w:jc w:val="center"/>
              <w:rPr>
                <w:rFonts w:hint="default" w:eastAsiaTheme="minorEastAsia"/>
                <w:sz w:val="28"/>
                <w:szCs w:val="28"/>
                <w:lang w:val="en-US" w:eastAsia="zh-CN"/>
              </w:rPr>
            </w:pPr>
            <w:r>
              <w:rPr>
                <w:rFonts w:hint="eastAsia"/>
                <w:sz w:val="28"/>
                <w:szCs w:val="28"/>
                <w:lang w:val="en-US" w:eastAsia="zh-CN"/>
              </w:rPr>
              <w:t>15%</w:t>
            </w:r>
          </w:p>
        </w:tc>
      </w:tr>
    </w:tbl>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ind w:firstLine="1600" w:firstLineChars="500"/>
        <w:rPr>
          <w:rFonts w:hint="eastAsia"/>
          <w:sz w:val="32"/>
          <w:szCs w:val="32"/>
          <w:u w:val="none"/>
        </w:rPr>
      </w:pPr>
    </w:p>
    <w:p>
      <w:pPr>
        <w:adjustRightInd w:val="0"/>
        <w:snapToGrid w:val="0"/>
        <w:ind w:firstLine="1600" w:firstLineChars="500"/>
        <w:rPr>
          <w:rFonts w:hint="eastAsia"/>
          <w:sz w:val="32"/>
          <w:szCs w:val="32"/>
          <w:u w:val="none"/>
        </w:rPr>
      </w:pPr>
    </w:p>
    <w:p>
      <w:pPr>
        <w:adjustRightInd w:val="0"/>
        <w:snapToGrid w:val="0"/>
        <w:ind w:firstLine="1600" w:firstLineChars="500"/>
        <w:rPr>
          <w:rFonts w:hint="eastAsia"/>
          <w:sz w:val="32"/>
          <w:szCs w:val="32"/>
          <w:u w:val="none"/>
        </w:rPr>
      </w:pPr>
      <w:bookmarkStart w:id="0" w:name="_GoBack"/>
      <w:bookmarkEnd w:id="0"/>
    </w:p>
    <w:p>
      <w:pPr>
        <w:adjustRightInd w:val="0"/>
        <w:snapToGrid w:val="0"/>
        <w:ind w:firstLine="1600" w:firstLineChars="500"/>
        <w:rPr>
          <w:rFonts w:hint="eastAsia"/>
          <w:sz w:val="32"/>
          <w:szCs w:val="32"/>
          <w:u w:val="none"/>
        </w:rPr>
      </w:pPr>
      <w:r>
        <w:rPr>
          <w:rFonts w:hint="eastAsia"/>
          <w:sz w:val="32"/>
          <w:szCs w:val="32"/>
          <w:u w:val="none"/>
        </w:rPr>
        <w:t>202</w:t>
      </w:r>
      <w:r>
        <w:rPr>
          <w:rFonts w:hint="eastAsia"/>
          <w:sz w:val="32"/>
          <w:szCs w:val="32"/>
          <w:u w:val="none"/>
          <w:lang w:val="en-US" w:eastAsia="zh-CN"/>
        </w:rPr>
        <w:t>5</w:t>
      </w:r>
      <w:r>
        <w:rPr>
          <w:rFonts w:hint="eastAsia"/>
          <w:sz w:val="32"/>
          <w:szCs w:val="32"/>
          <w:u w:val="none"/>
        </w:rPr>
        <w:t>年度</w:t>
      </w:r>
      <w:r>
        <w:rPr>
          <w:rFonts w:hint="eastAsia"/>
          <w:sz w:val="32"/>
          <w:szCs w:val="32"/>
          <w:u w:val="none"/>
          <w:lang w:eastAsia="zh-CN"/>
        </w:rPr>
        <w:t>零星起吊运输</w:t>
      </w:r>
      <w:r>
        <w:rPr>
          <w:rFonts w:hint="eastAsia"/>
          <w:sz w:val="32"/>
          <w:szCs w:val="32"/>
          <w:u w:val="none"/>
        </w:rPr>
        <w:t>结算方式</w:t>
      </w:r>
    </w:p>
    <w:p>
      <w:pPr>
        <w:adjustRightInd w:val="0"/>
        <w:snapToGrid w:val="0"/>
        <w:ind w:firstLine="1280" w:firstLineChars="400"/>
        <w:rPr>
          <w:rFonts w:hint="eastAsia"/>
          <w:sz w:val="32"/>
          <w:szCs w:val="32"/>
          <w:u w:val="none"/>
        </w:rPr>
      </w:pPr>
    </w:p>
    <w:p>
      <w:pPr>
        <w:adjustRightInd w:val="0"/>
        <w:snapToGrid w:val="0"/>
        <w:ind w:firstLine="280" w:firstLineChars="100"/>
        <w:rPr>
          <w:rFonts w:hint="eastAsia"/>
          <w:sz w:val="28"/>
          <w:szCs w:val="28"/>
        </w:rPr>
      </w:pPr>
      <w:r>
        <w:rPr>
          <w:rFonts w:hint="eastAsia"/>
          <w:sz w:val="28"/>
          <w:szCs w:val="28"/>
          <w:lang w:eastAsia="zh-CN"/>
        </w:rPr>
        <w:t>各有效投标价</w:t>
      </w:r>
      <w:r>
        <w:rPr>
          <w:rFonts w:hint="eastAsia"/>
          <w:sz w:val="28"/>
          <w:szCs w:val="28"/>
        </w:rPr>
        <w:t>按照区间的最低价和最高价取</w:t>
      </w:r>
      <w:r>
        <w:rPr>
          <w:rFonts w:hint="eastAsia"/>
          <w:sz w:val="28"/>
          <w:szCs w:val="28"/>
          <w:lang w:eastAsia="zh-CN"/>
        </w:rPr>
        <w:t>最低值</w:t>
      </w:r>
      <w:r>
        <w:rPr>
          <w:rFonts w:hint="eastAsia"/>
          <w:sz w:val="28"/>
          <w:szCs w:val="28"/>
        </w:rPr>
        <w:t>进行结算。按照下表中的费率进行结算。</w:t>
      </w:r>
    </w:p>
    <w:tbl>
      <w:tblPr>
        <w:tblStyle w:val="2"/>
        <w:tblpPr w:leftFromText="180" w:rightFromText="180" w:vertAnchor="text" w:horzAnchor="page" w:tblpX="2340" w:tblpY="342"/>
        <w:tblOverlap w:val="never"/>
        <w:tblW w:w="7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2490"/>
        <w:gridCol w:w="1295"/>
        <w:gridCol w:w="1366"/>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-42545</wp:posOffset>
                  </wp:positionH>
                  <wp:positionV relativeFrom="paragraph">
                    <wp:posOffset>29210</wp:posOffset>
                  </wp:positionV>
                  <wp:extent cx="1581150" cy="736600"/>
                  <wp:effectExtent l="0" t="0" r="0" b="6350"/>
                  <wp:wrapNone/>
                  <wp:docPr id="2" name="直接连接符_4"/>
                  <wp:cNvGraphicFramePr/>
                  <a:graphic xmlns:a="http://schemas.openxmlformats.org/drawingml/2006/main">
                    <a:graphicData uri="http://schemas.openxmlformats.org/drawingml/2006/picture">
                      <pic:pic xmlns:pic="http://schemas.openxmlformats.org/drawingml/2006/picture">
                        <pic:nvPicPr>
                          <pic:cNvPr id="2" name="直接连接符_4"/>
                          <pic:cNvPicPr/>
                        </pic:nvPicPr>
                        <pic:blipFill>
                          <a:blip r:embed="rId4"/>
                          <a:stretch>
                            <a:fillRect/>
                          </a:stretch>
                        </pic:blipFill>
                        <pic:spPr>
                          <a:xfrm>
                            <a:off x="0" y="0"/>
                            <a:ext cx="1581150" cy="7366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349250</wp:posOffset>
                  </wp:positionV>
                  <wp:extent cx="609600" cy="174625"/>
                  <wp:effectExtent l="0" t="0" r="0" b="15875"/>
                  <wp:wrapNone/>
                  <wp:docPr id="1" name="文本框_7"/>
                  <wp:cNvGraphicFramePr/>
                  <a:graphic xmlns:a="http://schemas.openxmlformats.org/drawingml/2006/main">
                    <a:graphicData uri="http://schemas.openxmlformats.org/drawingml/2006/picture">
                      <pic:pic xmlns:pic="http://schemas.openxmlformats.org/drawingml/2006/picture">
                        <pic:nvPicPr>
                          <pic:cNvPr id="1" name="文本框_7"/>
                          <pic:cNvPicPr/>
                        </pic:nvPicPr>
                        <pic:blipFill>
                          <a:blip r:embed="rId5"/>
                          <a:stretch>
                            <a:fillRect/>
                          </a:stretch>
                        </pic:blipFill>
                        <pic:spPr>
                          <a:xfrm>
                            <a:off x="0" y="0"/>
                            <a:ext cx="609600" cy="17462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742950</wp:posOffset>
                  </wp:positionH>
                  <wp:positionV relativeFrom="paragraph">
                    <wp:posOffset>34925</wp:posOffset>
                  </wp:positionV>
                  <wp:extent cx="762000" cy="301625"/>
                  <wp:effectExtent l="0" t="0" r="0" b="3175"/>
                  <wp:wrapNone/>
                  <wp:docPr id="3" name="文本框_6"/>
                  <wp:cNvGraphicFramePr/>
                  <a:graphic xmlns:a="http://schemas.openxmlformats.org/drawingml/2006/main">
                    <a:graphicData uri="http://schemas.openxmlformats.org/drawingml/2006/picture">
                      <pic:pic xmlns:pic="http://schemas.openxmlformats.org/drawingml/2006/picture">
                        <pic:nvPicPr>
                          <pic:cNvPr id="3" name="文本框_6"/>
                          <pic:cNvPicPr/>
                        </pic:nvPicPr>
                        <pic:blipFill>
                          <a:blip r:embed="rId6"/>
                          <a:stretch>
                            <a:fillRect/>
                          </a:stretch>
                        </pic:blipFill>
                        <pic:spPr>
                          <a:xfrm>
                            <a:off x="0" y="0"/>
                            <a:ext cx="762000" cy="301625"/>
                          </a:xfrm>
                          <a:prstGeom prst="rect">
                            <a:avLst/>
                          </a:prstGeom>
                          <a:noFill/>
                          <a:ln>
                            <a:noFill/>
                          </a:ln>
                        </pic:spPr>
                      </pic:pic>
                    </a:graphicData>
                  </a:graphic>
                </wp:anchor>
              </w:drawing>
            </w:r>
          </w:p>
        </w:tc>
        <w:tc>
          <w:tcPr>
            <w:tcW w:w="1295"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进出场费（元）</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半个台班费（元）</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95"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250T汽车吊</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200T汽车吊</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150T汽车吊</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120T汽车吊</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100T汽车吊</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75T汽车吊</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50T汽车吊</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40T汽车吊</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25T汽车吊</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20T汽车吊</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10T叉车</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5T叉车</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3T叉车</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50T平板车</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40T平板车</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10T 卡车</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20T 卡车</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40T 卡车</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bl>
    <w:p>
      <w:pPr>
        <w:adjustRightInd w:val="0"/>
        <w:snapToGrid w:val="0"/>
        <w:ind w:firstLine="280" w:firstLineChars="100"/>
        <w:rPr>
          <w:rFonts w:hint="eastAsia"/>
          <w:sz w:val="28"/>
          <w:szCs w:val="28"/>
          <w:lang w:val="en-US" w:eastAsia="zh-CN"/>
        </w:rPr>
      </w:pPr>
      <w:r>
        <w:rPr>
          <w:rFonts w:hint="eastAsia"/>
          <w:sz w:val="28"/>
          <w:szCs w:val="28"/>
          <w:lang w:val="en-US" w:eastAsia="zh-CN"/>
        </w:rPr>
        <w:t xml:space="preserve">         </w:t>
      </w:r>
    </w:p>
    <w:p>
      <w:pPr>
        <w:adjustRightInd w:val="0"/>
        <w:snapToGrid w:val="0"/>
        <w:ind w:firstLine="280" w:firstLineChars="100"/>
        <w:rPr>
          <w:rFonts w:hint="default" w:eastAsiaTheme="minorEastAsia"/>
          <w:sz w:val="28"/>
          <w:szCs w:val="28"/>
          <w:lang w:val="en-US" w:eastAsia="zh-CN"/>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pPr>
        <w:adjustRightInd w:val="0"/>
        <w:snapToGrid w:val="0"/>
        <w:rPr>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E32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2025-04-28T07:21:57Z</dcterms:created>
  <dc:creator>10082993</dc:creator>
  <cp:lastModifiedBy>陈佳俊</cp:lastModifiedBy>
  <dcterms:modified xsi:type="dcterms:W3CDTF">2025-04-28T07:23:13Z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5191606F8E1F47B5A264DE7015A85463</vt:lpwstr>
  </property>
</Properties>
</file>